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4F8FF" w14:textId="77777777" w:rsidR="00A974FF" w:rsidRPr="00376027" w:rsidRDefault="00376027" w:rsidP="00376027">
      <w:pPr>
        <w:jc w:val="center"/>
        <w:rPr>
          <w:b/>
        </w:rPr>
      </w:pPr>
      <w:r w:rsidRPr="00376027">
        <w:rPr>
          <w:b/>
          <w:bCs/>
        </w:rPr>
        <w:t>FONDOS CONCURSA</w:t>
      </w:r>
      <w:r w:rsidR="00B80EF3">
        <w:rPr>
          <w:b/>
          <w:bCs/>
        </w:rPr>
        <w:t>B</w:t>
      </w:r>
      <w:r w:rsidRPr="00376027">
        <w:rPr>
          <w:b/>
          <w:bCs/>
        </w:rPr>
        <w:t>LES “MUESTRAS COSTUMBRISTAS”</w:t>
      </w:r>
    </w:p>
    <w:p w14:paraId="48012B19" w14:textId="77777777" w:rsidR="00A974FF" w:rsidRDefault="00BC4BF0" w:rsidP="00376027">
      <w:pPr>
        <w:jc w:val="center"/>
      </w:pPr>
      <w:r>
        <w:rPr>
          <w:b/>
        </w:rPr>
        <w:t xml:space="preserve">BASES </w:t>
      </w:r>
      <w:r w:rsidR="00376027" w:rsidRPr="00376027">
        <w:rPr>
          <w:b/>
        </w:rPr>
        <w:t>DE POSTULACIÓN</w:t>
      </w:r>
    </w:p>
    <w:p w14:paraId="6FDF3D77" w14:textId="77777777" w:rsidR="00376027" w:rsidRDefault="00376027" w:rsidP="00A974FF">
      <w:pPr>
        <w:jc w:val="both"/>
      </w:pPr>
    </w:p>
    <w:p w14:paraId="6245E0D6" w14:textId="77777777" w:rsidR="00376027" w:rsidRPr="00142C98" w:rsidRDefault="00AE65B9" w:rsidP="00A974FF">
      <w:pPr>
        <w:rPr>
          <w:b/>
        </w:rPr>
      </w:pPr>
      <w:r w:rsidRPr="00142C98">
        <w:rPr>
          <w:b/>
        </w:rPr>
        <w:t>OBJETIVO</w:t>
      </w:r>
    </w:p>
    <w:p w14:paraId="2DCF4D15" w14:textId="77777777" w:rsidR="00376027" w:rsidRDefault="00376027" w:rsidP="00A974FF"/>
    <w:p w14:paraId="04CCE238" w14:textId="2CFF2EA9" w:rsidR="00DC25EE" w:rsidRDefault="004F384A" w:rsidP="00E2393D">
      <w:pPr>
        <w:spacing w:line="276" w:lineRule="auto"/>
        <w:jc w:val="both"/>
      </w:pPr>
      <w:r w:rsidRPr="004F384A">
        <w:t>El Fondo Concursable “Muestras Costumbristas” está orientado a financiar iniciativas colectivas y comunitarias que promuevan la cultura y las tradiciones de la comuna de San Juan de la Costa, mediante la realización de actividades con identidad local, poniendo especial énfasis en la cultura de las comunidades indígenas huilliche.</w:t>
      </w:r>
    </w:p>
    <w:p w14:paraId="430F2BAD" w14:textId="77777777" w:rsidR="00376027" w:rsidRDefault="00376027" w:rsidP="00A974FF"/>
    <w:p w14:paraId="380B6191" w14:textId="77777777" w:rsidR="00376027" w:rsidRPr="00142C98" w:rsidRDefault="00AE65B9" w:rsidP="00A974FF">
      <w:pPr>
        <w:rPr>
          <w:b/>
        </w:rPr>
      </w:pPr>
      <w:r w:rsidRPr="00142C98">
        <w:rPr>
          <w:b/>
        </w:rPr>
        <w:t>OBJETIVO ESPECÍFICOS</w:t>
      </w:r>
    </w:p>
    <w:p w14:paraId="27AAC9B9" w14:textId="77777777" w:rsidR="00376027" w:rsidRDefault="00376027" w:rsidP="00A974FF"/>
    <w:p w14:paraId="5E099413" w14:textId="77777777" w:rsidR="00376027" w:rsidRDefault="00376027" w:rsidP="00E2393D">
      <w:pPr>
        <w:pStyle w:val="Prrafodelista"/>
        <w:numPr>
          <w:ilvl w:val="0"/>
          <w:numId w:val="2"/>
        </w:numPr>
        <w:spacing w:line="360" w:lineRule="auto"/>
        <w:jc w:val="both"/>
      </w:pPr>
      <w:r>
        <w:t>Financiar iniciativas comunitarias con pertinencia local</w:t>
      </w:r>
    </w:p>
    <w:p w14:paraId="30827CE3" w14:textId="77777777" w:rsidR="0002543D" w:rsidRDefault="0002543D" w:rsidP="00E2393D">
      <w:pPr>
        <w:pStyle w:val="Prrafodelista"/>
        <w:numPr>
          <w:ilvl w:val="0"/>
          <w:numId w:val="2"/>
        </w:numPr>
        <w:spacing w:line="360" w:lineRule="auto"/>
        <w:jc w:val="both"/>
      </w:pPr>
      <w:r>
        <w:t xml:space="preserve">Potenciar el fortalecimiento organizacional </w:t>
      </w:r>
    </w:p>
    <w:p w14:paraId="18FDDE18" w14:textId="77777777" w:rsidR="009027EB" w:rsidRDefault="009027EB" w:rsidP="00E2393D">
      <w:pPr>
        <w:pStyle w:val="Prrafodelista"/>
        <w:numPr>
          <w:ilvl w:val="0"/>
          <w:numId w:val="2"/>
        </w:numPr>
        <w:spacing w:line="360" w:lineRule="auto"/>
        <w:jc w:val="both"/>
      </w:pPr>
      <w:r>
        <w:t>Facilitar el acceso a nuevos canales de comercialización de sus productos</w:t>
      </w:r>
    </w:p>
    <w:p w14:paraId="5E3DF916" w14:textId="77777777" w:rsidR="0002543D" w:rsidRDefault="009027EB" w:rsidP="00E2393D">
      <w:pPr>
        <w:pStyle w:val="Prrafodelista"/>
        <w:numPr>
          <w:ilvl w:val="0"/>
          <w:numId w:val="2"/>
        </w:numPr>
        <w:spacing w:line="360" w:lineRule="auto"/>
        <w:jc w:val="both"/>
      </w:pPr>
      <w:r>
        <w:t xml:space="preserve">Fortalecer las costumbres, cultura y tradiciones de </w:t>
      </w:r>
      <w:r w:rsidR="009C2C6D">
        <w:t>los habitantes de la comuna de San Juan de la C</w:t>
      </w:r>
      <w:r w:rsidR="0065583C">
        <w:t>osta, con pertinencia a la cultura Mapuche-Huilliche</w:t>
      </w:r>
    </w:p>
    <w:p w14:paraId="0A89ADF1" w14:textId="77777777" w:rsidR="003D41CC" w:rsidRPr="0002543D" w:rsidRDefault="003D41CC" w:rsidP="00E2393D">
      <w:pPr>
        <w:pStyle w:val="Prrafodelista"/>
        <w:numPr>
          <w:ilvl w:val="0"/>
          <w:numId w:val="2"/>
        </w:numPr>
        <w:spacing w:line="360" w:lineRule="auto"/>
        <w:jc w:val="both"/>
      </w:pPr>
      <w:r>
        <w:t>Fomentar el turismo local</w:t>
      </w:r>
    </w:p>
    <w:p w14:paraId="393CD93B" w14:textId="77777777" w:rsidR="0002543D" w:rsidRDefault="00AE65B9" w:rsidP="0002543D">
      <w:pPr>
        <w:rPr>
          <w:b/>
        </w:rPr>
      </w:pPr>
      <w:r w:rsidRPr="00142C98">
        <w:rPr>
          <w:b/>
        </w:rPr>
        <w:t xml:space="preserve">BENEFICIARIOS </w:t>
      </w:r>
    </w:p>
    <w:p w14:paraId="6E668D77" w14:textId="77777777" w:rsidR="009C2C6D" w:rsidRPr="00142C98" w:rsidRDefault="009C2C6D" w:rsidP="0002543D">
      <w:pPr>
        <w:rPr>
          <w:b/>
        </w:rPr>
      </w:pPr>
    </w:p>
    <w:p w14:paraId="6F4DF0AF" w14:textId="77777777" w:rsidR="0002543D" w:rsidRDefault="00142C98" w:rsidP="00E2393D">
      <w:pPr>
        <w:spacing w:line="276" w:lineRule="auto"/>
        <w:jc w:val="both"/>
      </w:pPr>
      <w:r>
        <w:t>El fondo concursables de muestras costumbristas considera la entrega de financiamiento  a junta de vecinos, comunidades indígenas y a organizaciones funcionales sin fines de lucro y con personalidad jurídica vigente.</w:t>
      </w:r>
      <w:r w:rsidR="002C30F1">
        <w:t xml:space="preserve"> Con el propósito de realizar actividades culturales, fiestas</w:t>
      </w:r>
      <w:r w:rsidR="00BC4BF0">
        <w:t xml:space="preserve"> costumbristas</w:t>
      </w:r>
      <w:r w:rsidR="002C30F1">
        <w:t>,</w:t>
      </w:r>
      <w:r w:rsidR="00BC4BF0">
        <w:t xml:space="preserve"> actividades de verano,</w:t>
      </w:r>
      <w:r w:rsidR="002C30F1">
        <w:t xml:space="preserve"> representaciones artísticas</w:t>
      </w:r>
      <w:r w:rsidR="003E033D">
        <w:t>, además de celebrar costumbres, tradiciones y saberes de la comuna.</w:t>
      </w:r>
      <w:r w:rsidR="003E033D" w:rsidRPr="003E033D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3E033D" w:rsidRPr="003E033D">
        <w:t> </w:t>
      </w:r>
      <w:r w:rsidR="003E033D">
        <w:t>Las iniciativas postuladas deben</w:t>
      </w:r>
      <w:r w:rsidR="003E033D" w:rsidRPr="003E033D">
        <w:t xml:space="preserve"> representar la vida cotidian</w:t>
      </w:r>
      <w:r w:rsidR="003E033D">
        <w:t xml:space="preserve">a y la identidad local, </w:t>
      </w:r>
      <w:r w:rsidR="003E033D" w:rsidRPr="003E033D">
        <w:t xml:space="preserve"> incluyendo gastronomía, artesanía, música, danzas, juegos y oficios tradicionales. </w:t>
      </w:r>
    </w:p>
    <w:p w14:paraId="1C175D7E" w14:textId="77777777" w:rsidR="0002543D" w:rsidRDefault="0002543D" w:rsidP="0002543D"/>
    <w:p w14:paraId="476A5E40" w14:textId="77777777" w:rsidR="0002543D" w:rsidRPr="00D913C0" w:rsidRDefault="0002543D" w:rsidP="0002543D">
      <w:pPr>
        <w:jc w:val="both"/>
        <w:rPr>
          <w:b/>
          <w:bCs/>
        </w:rPr>
      </w:pPr>
      <w:r w:rsidRPr="00D913C0">
        <w:rPr>
          <w:b/>
          <w:bCs/>
        </w:rPr>
        <w:t>REQUISITOS COMUNES DE ADMISIBILIDAD</w:t>
      </w:r>
    </w:p>
    <w:p w14:paraId="56AE8EEC" w14:textId="77777777" w:rsidR="0002543D" w:rsidRPr="00D913C0" w:rsidRDefault="0002543D" w:rsidP="0002543D">
      <w:pPr>
        <w:jc w:val="both"/>
        <w:rPr>
          <w:b/>
          <w:bCs/>
        </w:rPr>
      </w:pPr>
    </w:p>
    <w:p w14:paraId="01ADCD21" w14:textId="77777777" w:rsidR="0002543D" w:rsidRPr="005D1232" w:rsidRDefault="0002543D" w:rsidP="0002543D">
      <w:pPr>
        <w:numPr>
          <w:ilvl w:val="0"/>
          <w:numId w:val="1"/>
        </w:numPr>
        <w:jc w:val="both"/>
      </w:pPr>
      <w:r w:rsidRPr="005D1232">
        <w:t>Personalidad jurídica y directorio vigente a la fecha de postulación.</w:t>
      </w:r>
    </w:p>
    <w:p w14:paraId="03A312DB" w14:textId="77777777" w:rsidR="0002543D" w:rsidRPr="005D1232" w:rsidRDefault="0002543D" w:rsidP="0002543D">
      <w:pPr>
        <w:numPr>
          <w:ilvl w:val="0"/>
          <w:numId w:val="1"/>
        </w:numPr>
        <w:jc w:val="both"/>
      </w:pPr>
      <w:r w:rsidRPr="005D1232">
        <w:t>No mantener rendiciones pendientes con la Municipalidad.</w:t>
      </w:r>
    </w:p>
    <w:p w14:paraId="221700F4" w14:textId="77777777" w:rsidR="0002543D" w:rsidRPr="005D1232" w:rsidRDefault="0002543D" w:rsidP="0002543D">
      <w:pPr>
        <w:numPr>
          <w:ilvl w:val="0"/>
          <w:numId w:val="1"/>
        </w:numPr>
        <w:jc w:val="both"/>
      </w:pPr>
      <w:r w:rsidRPr="005D1232">
        <w:t>Estar inscrita y vigente en el Registro Central de Colaboradores del Estado y Municipalidades (</w:t>
      </w:r>
      <w:hyperlink r:id="rId8" w:tgtFrame="_new" w:history="1">
        <w:r w:rsidRPr="005D1232">
          <w:rPr>
            <w:rStyle w:val="Hipervnculo"/>
          </w:rPr>
          <w:t>www.registros19862.cl</w:t>
        </w:r>
      </w:hyperlink>
      <w:r w:rsidRPr="005D1232">
        <w:t>).</w:t>
      </w:r>
    </w:p>
    <w:p w14:paraId="678C4D3F" w14:textId="77777777" w:rsidR="0002543D" w:rsidRPr="005D1232" w:rsidRDefault="0002543D" w:rsidP="0002543D">
      <w:pPr>
        <w:numPr>
          <w:ilvl w:val="0"/>
          <w:numId w:val="1"/>
        </w:numPr>
        <w:jc w:val="both"/>
      </w:pPr>
      <w:r w:rsidRPr="005D1232">
        <w:t>Fotocopia del RUT de la organización.</w:t>
      </w:r>
    </w:p>
    <w:p w14:paraId="0C7C58D2" w14:textId="77777777" w:rsidR="0002543D" w:rsidRPr="005D1232" w:rsidRDefault="0002543D" w:rsidP="0002543D">
      <w:pPr>
        <w:numPr>
          <w:ilvl w:val="0"/>
          <w:numId w:val="1"/>
        </w:numPr>
        <w:jc w:val="both"/>
      </w:pPr>
      <w:r w:rsidRPr="005D1232">
        <w:t>Fotocopia de cédula de identidad del representante legal.</w:t>
      </w:r>
    </w:p>
    <w:p w14:paraId="196833E1" w14:textId="77777777" w:rsidR="0002543D" w:rsidRDefault="0002543D" w:rsidP="0002543D">
      <w:pPr>
        <w:numPr>
          <w:ilvl w:val="0"/>
          <w:numId w:val="1"/>
        </w:numPr>
        <w:jc w:val="both"/>
      </w:pPr>
      <w:r w:rsidRPr="005D1232">
        <w:t>Fotocopia de libreta o cartola bancaria que indique claramente el nombre de la organización y número de cuenta.</w:t>
      </w:r>
    </w:p>
    <w:p w14:paraId="32FA5636" w14:textId="6ABAEB88" w:rsidR="004F384A" w:rsidRDefault="004F384A" w:rsidP="0002543D">
      <w:pPr>
        <w:numPr>
          <w:ilvl w:val="0"/>
          <w:numId w:val="1"/>
        </w:numPr>
        <w:jc w:val="both"/>
      </w:pPr>
      <w:r>
        <w:t>El domicilio de la organización debe ser en la comuna de San Juan de la Costa.</w:t>
      </w:r>
    </w:p>
    <w:p w14:paraId="0A598474" w14:textId="48A97548" w:rsidR="004F384A" w:rsidRDefault="004F384A" w:rsidP="0002543D">
      <w:pPr>
        <w:numPr>
          <w:ilvl w:val="0"/>
          <w:numId w:val="1"/>
        </w:numPr>
        <w:jc w:val="both"/>
      </w:pPr>
      <w:r>
        <w:t xml:space="preserve">Que la organización postulante debe tener a lo mínimo un año de antigüedad al momento de cierre de este fondo concursable. </w:t>
      </w:r>
    </w:p>
    <w:p w14:paraId="4D9AEC12" w14:textId="77777777" w:rsidR="0002543D" w:rsidRPr="005D1232" w:rsidRDefault="0002543D" w:rsidP="0002543D">
      <w:pPr>
        <w:ind w:left="720"/>
        <w:jc w:val="both"/>
      </w:pPr>
    </w:p>
    <w:p w14:paraId="4B5F4442" w14:textId="77777777" w:rsidR="0002543D" w:rsidRDefault="0002543D" w:rsidP="0002543D">
      <w:pPr>
        <w:jc w:val="both"/>
      </w:pPr>
      <w:r w:rsidRPr="005D1232">
        <w:rPr>
          <w:b/>
          <w:bCs/>
        </w:rPr>
        <w:lastRenderedPageBreak/>
        <w:t>Importante:</w:t>
      </w:r>
      <w:r w:rsidRPr="005D1232">
        <w:t xml:space="preserve"> El responsable de la postulación será el representante legal conforme al artículo 4° de la Ley N°19.418 o lo estipulado en los estatutos de la organización.</w:t>
      </w:r>
    </w:p>
    <w:p w14:paraId="20CA6A06" w14:textId="77777777" w:rsidR="00AE65B9" w:rsidRDefault="00AE65B9" w:rsidP="0002543D">
      <w:pPr>
        <w:jc w:val="both"/>
      </w:pPr>
    </w:p>
    <w:p w14:paraId="3E233258" w14:textId="77777777" w:rsidR="00142C98" w:rsidRPr="00AE65B9" w:rsidRDefault="00AE65B9" w:rsidP="0002543D">
      <w:pPr>
        <w:rPr>
          <w:b/>
        </w:rPr>
      </w:pPr>
      <w:r w:rsidRPr="00AE65B9">
        <w:rPr>
          <w:b/>
        </w:rPr>
        <w:t>FINANCIAMIENTO</w:t>
      </w:r>
    </w:p>
    <w:p w14:paraId="674F2798" w14:textId="77777777" w:rsidR="003D41CC" w:rsidRDefault="003D41CC" w:rsidP="00716972">
      <w:pPr>
        <w:jc w:val="both"/>
      </w:pPr>
    </w:p>
    <w:p w14:paraId="095D7405" w14:textId="77777777" w:rsidR="004E6C5A" w:rsidRDefault="004E6C5A" w:rsidP="00716972">
      <w:pPr>
        <w:jc w:val="both"/>
      </w:pPr>
      <w:r w:rsidRPr="004E6C5A">
        <w:t xml:space="preserve">El presente fondo cuenta con un presupuesto total de </w:t>
      </w:r>
      <w:r w:rsidRPr="004E6C5A">
        <w:rPr>
          <w:b/>
          <w:bCs/>
        </w:rPr>
        <w:t>$30.000.000 (Presupuesto año 2026)</w:t>
      </w:r>
      <w:r w:rsidRPr="004E6C5A">
        <w:t xml:space="preserve">. El monto máximo financiable por iniciativa será de </w:t>
      </w:r>
      <w:r w:rsidRPr="004E6C5A">
        <w:rPr>
          <w:b/>
          <w:bCs/>
        </w:rPr>
        <w:t>$2.000.000</w:t>
      </w:r>
      <w:r w:rsidRPr="004E6C5A">
        <w:t xml:space="preserve">. Para optar al monto máximo, la actividad tipo “Fiesta Costumbrista” deberá tener una duración mínima de </w:t>
      </w:r>
      <w:r w:rsidRPr="004E6C5A">
        <w:rPr>
          <w:b/>
          <w:bCs/>
        </w:rPr>
        <w:t>dos (2) días</w:t>
      </w:r>
      <w:r w:rsidRPr="004E6C5A">
        <w:t>.</w:t>
      </w:r>
    </w:p>
    <w:p w14:paraId="55F3A8AE" w14:textId="77777777" w:rsidR="004E6C5A" w:rsidRDefault="004E6C5A" w:rsidP="00716972">
      <w:pPr>
        <w:jc w:val="both"/>
      </w:pPr>
    </w:p>
    <w:p w14:paraId="67DFA139" w14:textId="6138AA8C" w:rsidR="003D41CC" w:rsidRDefault="003E033D" w:rsidP="00716972">
      <w:pPr>
        <w:jc w:val="both"/>
      </w:pPr>
      <w:r>
        <w:t xml:space="preserve">El proyecto debe definir claramente los </w:t>
      </w:r>
      <w:r w:rsidR="003D41CC">
        <w:t>objetivos, monto</w:t>
      </w:r>
      <w:r>
        <w:t xml:space="preserve"> solicitado</w:t>
      </w:r>
      <w:r w:rsidR="003D41CC">
        <w:t>, la fecha de realización de la actividad, el lugar de emplazamiento, los participantes y beneficiarios. Además de definir la estructura de costo donde se debe mencionar cual será la fin</w:t>
      </w:r>
      <w:r w:rsidR="004F384A">
        <w:t>alidad del aporte.</w:t>
      </w:r>
    </w:p>
    <w:p w14:paraId="585055E4" w14:textId="77777777" w:rsidR="00AE65B9" w:rsidRDefault="00AE65B9" w:rsidP="0002543D"/>
    <w:p w14:paraId="07F133ED" w14:textId="77777777" w:rsidR="00142C98" w:rsidRPr="0058666E" w:rsidRDefault="00142C98" w:rsidP="00142C98">
      <w:pPr>
        <w:jc w:val="both"/>
      </w:pPr>
      <w:r w:rsidRPr="0058666E">
        <w:rPr>
          <w:b/>
          <w:bCs/>
        </w:rPr>
        <w:t xml:space="preserve">CRITERIOS DE EVALUACIÓN </w:t>
      </w:r>
    </w:p>
    <w:p w14:paraId="4B61B090" w14:textId="77777777" w:rsidR="00142C98" w:rsidRPr="0058666E" w:rsidRDefault="00142C98" w:rsidP="00142C98">
      <w:pPr>
        <w:jc w:val="both"/>
      </w:pPr>
      <w:r w:rsidRPr="0058666E">
        <w:t>La comisión técnica</w:t>
      </w:r>
      <w:r w:rsidR="00BC4BF0">
        <w:t xml:space="preserve"> de evaluación de este fondo </w:t>
      </w:r>
      <w:r w:rsidRPr="0058666E">
        <w:t xml:space="preserve"> será la encargada de evaluar si las postulaciones requeridas cumplen con cada uno de </w:t>
      </w:r>
      <w:r w:rsidRPr="00D913C0">
        <w:t>estos</w:t>
      </w:r>
      <w:r w:rsidRPr="0058666E">
        <w:t xml:space="preserve"> criterios, dejando inadmisibles todos aquellos que no se ajusten a éstos o que fueran abiertamente improcedentes, debiendo justificar claramente el motivo de su inadmisibilidad. </w:t>
      </w:r>
    </w:p>
    <w:p w14:paraId="7DBF5741" w14:textId="77777777" w:rsidR="00142C98" w:rsidRPr="0058666E" w:rsidRDefault="00142C98" w:rsidP="00142C98">
      <w:pPr>
        <w:jc w:val="both"/>
      </w:pPr>
      <w:r w:rsidRPr="0058666E">
        <w:t xml:space="preserve">a) Admisibilidad: Que los proyectos cumplan con los requisitos que establecen las presentes bases técnicas y que se adjunten los antecedentes correspondientes. </w:t>
      </w:r>
    </w:p>
    <w:p w14:paraId="30835BBD" w14:textId="77777777" w:rsidR="00142C98" w:rsidRPr="0058666E" w:rsidRDefault="00142C98" w:rsidP="00142C98">
      <w:pPr>
        <w:jc w:val="both"/>
      </w:pPr>
      <w:r w:rsidRPr="0058666E">
        <w:t>b) Pertinencia con el área de inversión: Que el proyecto se adecue a las necesidades d</w:t>
      </w:r>
      <w:r w:rsidR="00BC4BF0">
        <w:t>e las Organizaciones postulantes</w:t>
      </w:r>
      <w:r w:rsidRPr="0058666E">
        <w:t xml:space="preserve">, resolviendo sus problemas, carencias o necesidades, tomando en cuenta las características y particularidades de los mismos y de su entorno. </w:t>
      </w:r>
    </w:p>
    <w:p w14:paraId="3A6336B4" w14:textId="77777777" w:rsidR="00142C98" w:rsidRPr="00D913C0" w:rsidRDefault="00142C98" w:rsidP="00142C98">
      <w:pPr>
        <w:jc w:val="both"/>
      </w:pPr>
      <w:r w:rsidRPr="00D913C0">
        <w:t>e) Complementariedad: Que se señale la vinculación con otr</w:t>
      </w:r>
      <w:r w:rsidR="00BC4BF0">
        <w:t>as instituciones o instancias. O</w:t>
      </w:r>
      <w:r w:rsidRPr="00D913C0">
        <w:t xml:space="preserve">tros aportes del proyecto </w:t>
      </w:r>
      <w:r w:rsidR="00250247">
        <w:t xml:space="preserve">y/o otras fuentes de financiamiento </w:t>
      </w:r>
      <w:r w:rsidRPr="00D913C0">
        <w:t>externos a la organización</w:t>
      </w:r>
      <w:r w:rsidR="00250247">
        <w:t xml:space="preserve">, </w:t>
      </w:r>
    </w:p>
    <w:p w14:paraId="0B367774" w14:textId="77777777" w:rsidR="00142C98" w:rsidRPr="00D913C0" w:rsidRDefault="00142C98" w:rsidP="00142C98">
      <w:pPr>
        <w:jc w:val="both"/>
      </w:pPr>
    </w:p>
    <w:p w14:paraId="43914B5F" w14:textId="77777777" w:rsidR="00142C98" w:rsidRPr="0058666E" w:rsidRDefault="00142C98" w:rsidP="00142C98">
      <w:pPr>
        <w:jc w:val="both"/>
        <w:rPr>
          <w:b/>
          <w:bCs/>
        </w:rPr>
      </w:pPr>
      <w:r w:rsidRPr="0058666E">
        <w:rPr>
          <w:b/>
          <w:bCs/>
        </w:rPr>
        <w:t xml:space="preserve">COMISIÓN TÉCNICA </w:t>
      </w:r>
    </w:p>
    <w:p w14:paraId="38055820" w14:textId="77777777" w:rsidR="00142C98" w:rsidRPr="0058666E" w:rsidRDefault="00142C98" w:rsidP="00142C98">
      <w:pPr>
        <w:jc w:val="both"/>
      </w:pPr>
      <w:r w:rsidRPr="0058666E">
        <w:t xml:space="preserve">La Comisión Técnica hará una evaluación técnica de los proyectos presentados, cuyo informe técnico correspondiente será remitido a la Dirección de Asesoría Jurídica para el análisis respectivo, Unidad que emitirá el informe jurídico correspondiente. </w:t>
      </w:r>
    </w:p>
    <w:p w14:paraId="40128A95" w14:textId="77777777" w:rsidR="00142C98" w:rsidRPr="0058666E" w:rsidRDefault="00142C98" w:rsidP="00142C98">
      <w:pPr>
        <w:jc w:val="both"/>
      </w:pPr>
      <w:r w:rsidRPr="0058666E">
        <w:t xml:space="preserve">Ambos informes, técnico y jurídico serán remitidos al Sr. Alcalde, formulando las propuestas de adjudicación, con indicación de los criterios de selección utilizados. </w:t>
      </w:r>
    </w:p>
    <w:p w14:paraId="225B507F" w14:textId="77777777" w:rsidR="00142C98" w:rsidRPr="00D913C0" w:rsidRDefault="00142C98" w:rsidP="00142C98">
      <w:pPr>
        <w:jc w:val="both"/>
      </w:pPr>
      <w:r w:rsidRPr="00D913C0">
        <w:t>La adjudicación de los proyectos se efectuará a proposición del Sr. Alcalde con acuerdo del Honorable Concejo Municipal.</w:t>
      </w:r>
    </w:p>
    <w:p w14:paraId="242BCDDD" w14:textId="77777777" w:rsidR="00142C98" w:rsidRPr="00D913C0" w:rsidRDefault="00142C98" w:rsidP="00142C98">
      <w:pPr>
        <w:jc w:val="both"/>
        <w:rPr>
          <w:b/>
          <w:bCs/>
        </w:rPr>
      </w:pPr>
    </w:p>
    <w:p w14:paraId="3F8553D4" w14:textId="77777777" w:rsidR="00142C98" w:rsidRPr="0058666E" w:rsidRDefault="00142C98" w:rsidP="00142C98">
      <w:pPr>
        <w:jc w:val="both"/>
        <w:rPr>
          <w:b/>
          <w:bCs/>
        </w:rPr>
      </w:pPr>
      <w:r w:rsidRPr="0058666E">
        <w:rPr>
          <w:b/>
          <w:bCs/>
        </w:rPr>
        <w:t>PLAZO DE EJECUCIÓN DE PROYECTO</w:t>
      </w:r>
    </w:p>
    <w:p w14:paraId="78EDBCDC" w14:textId="77777777" w:rsidR="00142C98" w:rsidRPr="0058666E" w:rsidRDefault="00142C98" w:rsidP="00142C98">
      <w:pPr>
        <w:jc w:val="both"/>
      </w:pPr>
      <w:r w:rsidRPr="0058666E">
        <w:t>En los proyectos, cuya ejecución se lleven a cabo en varias etapas, la Municipalidad podrá proceder a entregar los recursos en forma fraccionada; debiendo la institución beneficiaria entregar un pre informe de ejecución y rendición financiera aprobados por el Municipio, para proceder a nuevos pagos. En todo caso el plazo de ejecución no podrá exceder los tres meses.</w:t>
      </w:r>
    </w:p>
    <w:p w14:paraId="537343C0" w14:textId="77777777" w:rsidR="00142C98" w:rsidRDefault="00142C98" w:rsidP="00142C98">
      <w:pPr>
        <w:jc w:val="both"/>
      </w:pPr>
      <w:r w:rsidRPr="00D913C0">
        <w:t>Si por alguna razón fundada la organización no pudiera ejecutar su proyecto en el plazo indicado precedentemente, deberá antes del cumplimiento de dicho plazo, ingresar por oficina de partes una solicitud a la Comisión Técnica para ampliación de plazo, la cual responderá la factibilidad por el mismo medio. Mismo procedimiento si fuera necesario por razones</w:t>
      </w:r>
      <w:r w:rsidR="00DC0601">
        <w:t xml:space="preserve"> fundadas, el cambio de ítem de financiamiento.</w:t>
      </w:r>
    </w:p>
    <w:p w14:paraId="07FAF219" w14:textId="77777777" w:rsidR="00716972" w:rsidRDefault="00716972" w:rsidP="00142C98">
      <w:pPr>
        <w:jc w:val="both"/>
      </w:pPr>
    </w:p>
    <w:p w14:paraId="1E26914F" w14:textId="77777777" w:rsidR="004E6C5A" w:rsidRDefault="004E6C5A" w:rsidP="00142C98">
      <w:pPr>
        <w:jc w:val="both"/>
      </w:pPr>
    </w:p>
    <w:p w14:paraId="7715D2FD" w14:textId="77777777" w:rsidR="00142C98" w:rsidRPr="0058666E" w:rsidRDefault="00142C98" w:rsidP="00142C98">
      <w:pPr>
        <w:jc w:val="both"/>
        <w:rPr>
          <w:b/>
          <w:bCs/>
        </w:rPr>
      </w:pPr>
      <w:r w:rsidRPr="0058666E">
        <w:rPr>
          <w:b/>
          <w:bCs/>
        </w:rPr>
        <w:lastRenderedPageBreak/>
        <w:t xml:space="preserve">RENDICIÓN DE CUENTAS </w:t>
      </w:r>
    </w:p>
    <w:p w14:paraId="1B4C3863" w14:textId="77777777" w:rsidR="00142C98" w:rsidRPr="0058666E" w:rsidRDefault="00142C98" w:rsidP="00142C98">
      <w:pPr>
        <w:jc w:val="both"/>
      </w:pPr>
      <w:r w:rsidRPr="0058666E">
        <w:t xml:space="preserve">Los derechos y obligaciones de las organizaciones beneficiarias serán formalizados mediante la suscripción de un convenio previo a la recepción de los recursos municipales. Este convenio establecerá de manera clara las condiciones y términos, incluyendo el proceso de rendición de cuentas que deberá seguirse. </w:t>
      </w:r>
    </w:p>
    <w:p w14:paraId="561BE6D6" w14:textId="536A5657" w:rsidR="00142C98" w:rsidRDefault="00142C98" w:rsidP="00142C98">
      <w:pPr>
        <w:jc w:val="both"/>
      </w:pPr>
      <w:r w:rsidRPr="00D913C0">
        <w:t>Las organizaciones favorecidas tendr</w:t>
      </w:r>
      <w:r w:rsidR="00CD5C64">
        <w:t xml:space="preserve">án un plazo de 30 días corridos, a partir de la realización de la actividad, </w:t>
      </w:r>
      <w:r w:rsidRPr="00D913C0">
        <w:t>para rendir cuenta de los f</w:t>
      </w:r>
      <w:r w:rsidR="00D63EEB">
        <w:t>ondos aportados, según cronograma</w:t>
      </w:r>
      <w:r w:rsidRPr="00D913C0">
        <w:t xml:space="preserve"> de bases.</w:t>
      </w:r>
      <w:r w:rsidR="00716972">
        <w:t xml:space="preserve"> En caso excepcional se debe solicitar la ampliación de plazo, la cual debe de ser aprobada por el municipio, para así poder ejecutar la actividad.</w:t>
      </w:r>
    </w:p>
    <w:p w14:paraId="28A834EF" w14:textId="77777777" w:rsidR="00E74F05" w:rsidRDefault="00E74F05" w:rsidP="00142C98">
      <w:pPr>
        <w:jc w:val="both"/>
      </w:pPr>
    </w:p>
    <w:p w14:paraId="12F2A487" w14:textId="46F1F634" w:rsidR="00E74F05" w:rsidRPr="00E74F05" w:rsidRDefault="00E74F05" w:rsidP="00E74F05">
      <w:pPr>
        <w:jc w:val="both"/>
        <w:rPr>
          <w:b/>
          <w:bCs/>
        </w:rPr>
      </w:pPr>
      <w:r w:rsidRPr="00E74F05">
        <w:rPr>
          <w:b/>
          <w:bCs/>
        </w:rPr>
        <w:t>PROCEDIMIENTO DE POSTULACIÓN</w:t>
      </w:r>
    </w:p>
    <w:p w14:paraId="019E8EE3" w14:textId="77777777" w:rsidR="00E74F05" w:rsidRDefault="00E74F05" w:rsidP="00E74F05">
      <w:pPr>
        <w:jc w:val="both"/>
      </w:pPr>
      <w:r>
        <w:t>●</w:t>
      </w:r>
      <w:r>
        <w:tab/>
        <w:t xml:space="preserve">Apertura de convocatoria: </w:t>
      </w:r>
      <w:proofErr w:type="gramStart"/>
      <w:r>
        <w:t>Noviembre</w:t>
      </w:r>
      <w:proofErr w:type="gramEnd"/>
      <w:r>
        <w:t xml:space="preserve"> de 2025.</w:t>
      </w:r>
    </w:p>
    <w:p w14:paraId="3ADC44A6" w14:textId="77777777" w:rsidR="00E74F05" w:rsidRDefault="00E74F05" w:rsidP="00E74F05">
      <w:pPr>
        <w:jc w:val="both"/>
      </w:pPr>
      <w:r>
        <w:t>●</w:t>
      </w:r>
      <w:r>
        <w:tab/>
        <w:t>Recepción de postulaciones: La documentación deberá ser presentada de manera legible en la Oficina de Partes de la Ilustre Municipalidad de San Juan de la Costa, en la Oficina de Misión San Juan, o enviada al correo electrónico mloncomilla@sanjuandelacosta.cl.</w:t>
      </w:r>
    </w:p>
    <w:p w14:paraId="2F427843" w14:textId="1387D8E6" w:rsidR="00E74F05" w:rsidRDefault="00E74F05" w:rsidP="00E74F05">
      <w:pPr>
        <w:jc w:val="both"/>
      </w:pPr>
      <w:r>
        <w:t>●</w:t>
      </w:r>
      <w:r>
        <w:tab/>
        <w:t>Cierre de postulaciones: hasta el 19 de diciembre de 2025 a las 14:00 horas.</w:t>
      </w:r>
    </w:p>
    <w:p w14:paraId="240C6D1F" w14:textId="77777777" w:rsidR="00E74F05" w:rsidRDefault="00E74F05" w:rsidP="00E74F05">
      <w:pPr>
        <w:jc w:val="both"/>
      </w:pPr>
      <w:r>
        <w:t>●</w:t>
      </w:r>
      <w:r>
        <w:tab/>
        <w:t>Evaluación y selección: a cargo de la Comisión Evaluadora designada por decreto alcaldicio.</w:t>
      </w:r>
    </w:p>
    <w:p w14:paraId="168E5A98" w14:textId="0BC2FC61" w:rsidR="00E74F05" w:rsidRPr="00D913C0" w:rsidRDefault="00E74F05" w:rsidP="00E74F05">
      <w:pPr>
        <w:jc w:val="both"/>
      </w:pPr>
      <w:r>
        <w:t>●</w:t>
      </w:r>
      <w:r>
        <w:tab/>
        <w:t>Publicación de resultados: mediante resolución exenta y publicación en canales municipales.</w:t>
      </w:r>
    </w:p>
    <w:p w14:paraId="0773746A" w14:textId="77777777" w:rsidR="00142C98" w:rsidRPr="00D913C0" w:rsidRDefault="00142C98" w:rsidP="00142C98">
      <w:pPr>
        <w:jc w:val="both"/>
      </w:pPr>
    </w:p>
    <w:p w14:paraId="7345C3B9" w14:textId="77777777" w:rsidR="00142C98" w:rsidRDefault="00142C98" w:rsidP="00142C98">
      <w:pPr>
        <w:jc w:val="both"/>
        <w:rPr>
          <w:b/>
          <w:bCs/>
        </w:rPr>
      </w:pPr>
      <w:r w:rsidRPr="0058666E">
        <w:rPr>
          <w:b/>
          <w:bCs/>
        </w:rPr>
        <w:t xml:space="preserve">TÉRMINOS Y CONDICIONES </w:t>
      </w:r>
    </w:p>
    <w:p w14:paraId="56727968" w14:textId="77777777" w:rsidR="00142C98" w:rsidRPr="0058666E" w:rsidRDefault="00142C98" w:rsidP="00142C98">
      <w:pPr>
        <w:jc w:val="both"/>
        <w:rPr>
          <w:b/>
          <w:bCs/>
        </w:rPr>
      </w:pPr>
    </w:p>
    <w:p w14:paraId="00A86586" w14:textId="77777777" w:rsidR="00142C98" w:rsidRPr="0058666E" w:rsidRDefault="00142C98" w:rsidP="00142C98">
      <w:pPr>
        <w:jc w:val="both"/>
      </w:pPr>
      <w:r w:rsidRPr="0058666E">
        <w:t xml:space="preserve">1) De acuerdo a Resolución N°30, del 2015 de la Contraloría General de la Republica, los recursos serán solo para las siguientes partidas. </w:t>
      </w:r>
    </w:p>
    <w:p w14:paraId="574B77E1" w14:textId="77777777" w:rsidR="00142C98" w:rsidRPr="0058666E" w:rsidRDefault="00142C98" w:rsidP="00142C98">
      <w:pPr>
        <w:jc w:val="both"/>
      </w:pPr>
      <w:r w:rsidRPr="0058666E">
        <w:t>- Operación: comprende en general, los gastos necesarios para el cumplimiento de las funciones y actividades para que fueron otorgados estos recursos, tales como alimentación y bebidas, arriendos, vestuarios, materiales de uso o de consumo, servicios bási</w:t>
      </w:r>
      <w:r w:rsidR="006A5629">
        <w:t>cos, mantenimiento</w:t>
      </w:r>
      <w:r w:rsidRPr="0058666E">
        <w:t xml:space="preserve">, artículos de librería, difusión, pasajes, combustibles. </w:t>
      </w:r>
    </w:p>
    <w:p w14:paraId="0542E768" w14:textId="77777777" w:rsidR="00142C98" w:rsidRPr="0058666E" w:rsidRDefault="00142C98" w:rsidP="00142C98">
      <w:pPr>
        <w:jc w:val="both"/>
      </w:pPr>
    </w:p>
    <w:p w14:paraId="72B4389A" w14:textId="77777777" w:rsidR="00142C98" w:rsidRPr="0058666E" w:rsidRDefault="00142C98" w:rsidP="00142C98">
      <w:pPr>
        <w:jc w:val="both"/>
      </w:pPr>
      <w:r w:rsidRPr="0058666E">
        <w:t xml:space="preserve">- Personal: Comprende en general todos los gastos por conceptos de remuneraciones, aportes del empleador y otros gastos necesarios para el pago del personal en actividad y/o servicio previsto en el proyecto. </w:t>
      </w:r>
    </w:p>
    <w:p w14:paraId="06EC5227" w14:textId="77777777" w:rsidR="00142C98" w:rsidRPr="00D913C0" w:rsidRDefault="00142C98" w:rsidP="00142C98">
      <w:pPr>
        <w:jc w:val="both"/>
      </w:pPr>
    </w:p>
    <w:p w14:paraId="33184C5B" w14:textId="77777777" w:rsidR="00142C98" w:rsidRDefault="00142C98" w:rsidP="00142C98">
      <w:pPr>
        <w:jc w:val="both"/>
      </w:pPr>
      <w:r w:rsidRPr="0058666E">
        <w:t xml:space="preserve">2) No se financiarán proyectos de equipamientos de inmuebles y/o sedes que se ejecuten en lugares particulares, o inmuebles de partidos políticos u organizaciones religiosas, estos últimos por que contraviene lo dispuesto en el artículo N°3 de la Ley 19.418. </w:t>
      </w:r>
    </w:p>
    <w:p w14:paraId="4635FCA6" w14:textId="77777777" w:rsidR="00142C98" w:rsidRPr="0058666E" w:rsidRDefault="00142C98" w:rsidP="00142C98">
      <w:pPr>
        <w:jc w:val="both"/>
      </w:pPr>
    </w:p>
    <w:p w14:paraId="202A51FC" w14:textId="77777777" w:rsidR="00142C98" w:rsidRDefault="00142C98" w:rsidP="00142C98">
      <w:pPr>
        <w:jc w:val="both"/>
      </w:pPr>
      <w:r w:rsidRPr="0058666E">
        <w:t xml:space="preserve">3) Se podrá financiar total o parcialmente un proyecto, lo que quedará a </w:t>
      </w:r>
      <w:r w:rsidR="00CD5C64">
        <w:t>criterio de la comisión técnica, es decir, la evaluación de comisión técnica podrá proponer un menor aporte.</w:t>
      </w:r>
      <w:r w:rsidRPr="0058666E">
        <w:t xml:space="preserve"> </w:t>
      </w:r>
    </w:p>
    <w:p w14:paraId="1297F6AF" w14:textId="77777777" w:rsidR="00142C98" w:rsidRPr="0058666E" w:rsidRDefault="00142C98" w:rsidP="00142C98">
      <w:pPr>
        <w:jc w:val="both"/>
      </w:pPr>
    </w:p>
    <w:p w14:paraId="6ADF4BA6" w14:textId="77777777" w:rsidR="00142C98" w:rsidRDefault="00CD5C64" w:rsidP="00142C98">
      <w:pPr>
        <w:jc w:val="both"/>
      </w:pPr>
      <w:r>
        <w:t xml:space="preserve">4) Para el presente concurso </w:t>
      </w:r>
      <w:r w:rsidR="00142C98" w:rsidRPr="0058666E">
        <w:t xml:space="preserve">se podrá postular a UN (1) solo proyecto por organización. </w:t>
      </w:r>
    </w:p>
    <w:p w14:paraId="1366025D" w14:textId="77777777" w:rsidR="00142C98" w:rsidRPr="0058666E" w:rsidRDefault="00142C98" w:rsidP="00142C98">
      <w:pPr>
        <w:jc w:val="both"/>
      </w:pPr>
    </w:p>
    <w:p w14:paraId="4B75625B" w14:textId="77777777" w:rsidR="00142C98" w:rsidRDefault="00142C98" w:rsidP="00142C98">
      <w:pPr>
        <w:jc w:val="both"/>
      </w:pPr>
      <w:r>
        <w:lastRenderedPageBreak/>
        <w:t>5</w:t>
      </w:r>
      <w:r w:rsidRPr="0058666E">
        <w:t xml:space="preserve">) Queda explícitamente prohibida la prestación de servicios remunerados en calidad de monitores o talleristas por parte de alguno de los miembros de la Directiva de la organización, así como también de sus familiares directos. </w:t>
      </w:r>
    </w:p>
    <w:p w14:paraId="714B1C37" w14:textId="77777777" w:rsidR="00142C98" w:rsidRPr="0058666E" w:rsidRDefault="00142C98" w:rsidP="00142C98">
      <w:pPr>
        <w:jc w:val="both"/>
      </w:pPr>
    </w:p>
    <w:p w14:paraId="69865E0B" w14:textId="77777777" w:rsidR="00142C98" w:rsidRDefault="00142C98" w:rsidP="00142C98">
      <w:pPr>
        <w:jc w:val="both"/>
      </w:pPr>
      <w:r>
        <w:t>6</w:t>
      </w:r>
      <w:r w:rsidRPr="00D913C0">
        <w:t>) En caso de compras, quedo totalmente prohibido realizar compras a miembros de la directiva, o a sus empresas o sociedades.</w:t>
      </w:r>
    </w:p>
    <w:p w14:paraId="62D2B3C5" w14:textId="77777777" w:rsidR="00142C98" w:rsidRDefault="00142C98" w:rsidP="00142C98">
      <w:pPr>
        <w:jc w:val="both"/>
      </w:pPr>
    </w:p>
    <w:p w14:paraId="48477C5C" w14:textId="77777777" w:rsidR="00142C98" w:rsidRDefault="00180935" w:rsidP="00142C98">
      <w:pPr>
        <w:jc w:val="both"/>
      </w:pPr>
      <w:r>
        <w:t xml:space="preserve">7) El proyecto es compatible con otros fondos concursables y/o aportes municipales. A excepción de aquellos que persigan los mismos objetivo y/o propósito. En este último caso se declarara inadmisible por la comisión técnica de evaluación. </w:t>
      </w:r>
    </w:p>
    <w:p w14:paraId="797AAF8F" w14:textId="77777777" w:rsidR="00142C98" w:rsidRDefault="00142C98" w:rsidP="00142C98">
      <w:pPr>
        <w:jc w:val="both"/>
      </w:pPr>
    </w:p>
    <w:p w14:paraId="72ADEE7E" w14:textId="77777777" w:rsidR="00142C98" w:rsidRDefault="00142C98" w:rsidP="00296719">
      <w:pPr>
        <w:jc w:val="both"/>
      </w:pPr>
      <w:r>
        <w:t>8) Las organizaciones deben tener un mínimo de 1 año de vigencia.</w:t>
      </w:r>
    </w:p>
    <w:p w14:paraId="714C51C3" w14:textId="7868D331" w:rsidR="004F384A" w:rsidRDefault="004F384A" w:rsidP="00296719">
      <w:pPr>
        <w:jc w:val="both"/>
      </w:pPr>
    </w:p>
    <w:p w14:paraId="621D13DC" w14:textId="657604CC" w:rsidR="00135667" w:rsidRDefault="004F384A" w:rsidP="00296719">
      <w:pPr>
        <w:jc w:val="both"/>
      </w:pPr>
      <w:r>
        <w:t xml:space="preserve">9) </w:t>
      </w:r>
      <w:r w:rsidR="00135667" w:rsidRPr="00135667">
        <w:t>En caso de declararse aportes propios o de terceros en el formulario de postulación, estos deberán ser debidamente acreditados y, de corresponder, deberá suscribirse un comodato a favor del municipio.</w:t>
      </w:r>
    </w:p>
    <w:p w14:paraId="15A34732" w14:textId="77777777" w:rsidR="00876817" w:rsidRDefault="00876817" w:rsidP="00296719">
      <w:pPr>
        <w:jc w:val="both"/>
      </w:pPr>
    </w:p>
    <w:p w14:paraId="33EF008A" w14:textId="77777777" w:rsidR="00876817" w:rsidRDefault="00876817" w:rsidP="00296719">
      <w:pPr>
        <w:jc w:val="both"/>
      </w:pPr>
    </w:p>
    <w:p w14:paraId="72F46A86" w14:textId="77777777" w:rsidR="00AE58F3" w:rsidRDefault="00AE58F3" w:rsidP="00296719">
      <w:pPr>
        <w:jc w:val="both"/>
      </w:pPr>
    </w:p>
    <w:p w14:paraId="7DD245F0" w14:textId="77777777" w:rsidR="00E74F05" w:rsidRDefault="00E74F05" w:rsidP="00296719">
      <w:pPr>
        <w:jc w:val="both"/>
      </w:pPr>
    </w:p>
    <w:p w14:paraId="43310F25" w14:textId="77777777" w:rsidR="00E74F05" w:rsidRDefault="00E74F05" w:rsidP="00296719">
      <w:pPr>
        <w:jc w:val="both"/>
      </w:pPr>
    </w:p>
    <w:p w14:paraId="78E84C2C" w14:textId="77777777" w:rsidR="004E6C5A" w:rsidRDefault="004E6C5A" w:rsidP="00296719">
      <w:pPr>
        <w:jc w:val="both"/>
      </w:pPr>
    </w:p>
    <w:p w14:paraId="7C812456" w14:textId="77777777" w:rsidR="004E6C5A" w:rsidRDefault="004E6C5A" w:rsidP="00296719">
      <w:pPr>
        <w:jc w:val="both"/>
      </w:pPr>
    </w:p>
    <w:p w14:paraId="3F1425F8" w14:textId="77777777" w:rsidR="004E6C5A" w:rsidRDefault="004E6C5A" w:rsidP="00296719">
      <w:pPr>
        <w:jc w:val="both"/>
      </w:pPr>
    </w:p>
    <w:p w14:paraId="67748E8A" w14:textId="77777777" w:rsidR="004E6C5A" w:rsidRDefault="004E6C5A" w:rsidP="00296719">
      <w:pPr>
        <w:jc w:val="both"/>
      </w:pPr>
    </w:p>
    <w:p w14:paraId="2CC05FBC" w14:textId="77777777" w:rsidR="004E6C5A" w:rsidRDefault="004E6C5A" w:rsidP="00296719">
      <w:pPr>
        <w:jc w:val="both"/>
      </w:pPr>
    </w:p>
    <w:p w14:paraId="15538BB5" w14:textId="77777777" w:rsidR="004E6C5A" w:rsidRDefault="004E6C5A" w:rsidP="00296719">
      <w:pPr>
        <w:jc w:val="both"/>
      </w:pPr>
    </w:p>
    <w:p w14:paraId="03B76BDE" w14:textId="77777777" w:rsidR="004E6C5A" w:rsidRDefault="004E6C5A" w:rsidP="00296719">
      <w:pPr>
        <w:jc w:val="both"/>
      </w:pPr>
    </w:p>
    <w:p w14:paraId="776E7A1B" w14:textId="77777777" w:rsidR="004E6C5A" w:rsidRDefault="004E6C5A" w:rsidP="00296719">
      <w:pPr>
        <w:jc w:val="both"/>
      </w:pPr>
    </w:p>
    <w:p w14:paraId="50EB0C76" w14:textId="77777777" w:rsidR="004E6C5A" w:rsidRDefault="004E6C5A" w:rsidP="00296719">
      <w:pPr>
        <w:jc w:val="both"/>
      </w:pPr>
    </w:p>
    <w:p w14:paraId="026A5ED6" w14:textId="77777777" w:rsidR="004E6C5A" w:rsidRDefault="004E6C5A" w:rsidP="00296719">
      <w:pPr>
        <w:jc w:val="both"/>
      </w:pPr>
    </w:p>
    <w:p w14:paraId="2BAF157B" w14:textId="77777777" w:rsidR="004E6C5A" w:rsidRDefault="004E6C5A" w:rsidP="00296719">
      <w:pPr>
        <w:jc w:val="both"/>
      </w:pPr>
    </w:p>
    <w:p w14:paraId="51916919" w14:textId="77777777" w:rsidR="004E6C5A" w:rsidRDefault="004E6C5A" w:rsidP="00296719">
      <w:pPr>
        <w:jc w:val="both"/>
      </w:pPr>
    </w:p>
    <w:p w14:paraId="21B76C95" w14:textId="77777777" w:rsidR="004E6C5A" w:rsidRDefault="004E6C5A" w:rsidP="00296719">
      <w:pPr>
        <w:jc w:val="both"/>
      </w:pPr>
    </w:p>
    <w:p w14:paraId="25F17194" w14:textId="77777777" w:rsidR="004E6C5A" w:rsidRDefault="004E6C5A" w:rsidP="00296719">
      <w:pPr>
        <w:jc w:val="both"/>
      </w:pPr>
    </w:p>
    <w:p w14:paraId="03A15317" w14:textId="77777777" w:rsidR="004E6C5A" w:rsidRDefault="004E6C5A" w:rsidP="00296719">
      <w:pPr>
        <w:jc w:val="both"/>
      </w:pPr>
    </w:p>
    <w:p w14:paraId="33FB35C3" w14:textId="77777777" w:rsidR="004E6C5A" w:rsidRDefault="004E6C5A" w:rsidP="00296719">
      <w:pPr>
        <w:jc w:val="both"/>
      </w:pPr>
    </w:p>
    <w:p w14:paraId="088796C0" w14:textId="77777777" w:rsidR="004E6C5A" w:rsidRDefault="004E6C5A" w:rsidP="00296719">
      <w:pPr>
        <w:jc w:val="both"/>
      </w:pPr>
    </w:p>
    <w:p w14:paraId="57607CF7" w14:textId="77777777" w:rsidR="004E6C5A" w:rsidRDefault="004E6C5A" w:rsidP="00296719">
      <w:pPr>
        <w:jc w:val="both"/>
      </w:pPr>
    </w:p>
    <w:p w14:paraId="3F5540F3" w14:textId="77777777" w:rsidR="004E6C5A" w:rsidRDefault="004E6C5A" w:rsidP="00296719">
      <w:pPr>
        <w:jc w:val="both"/>
      </w:pPr>
    </w:p>
    <w:p w14:paraId="36B6FF24" w14:textId="77777777" w:rsidR="004E6C5A" w:rsidRDefault="004E6C5A" w:rsidP="00296719">
      <w:pPr>
        <w:jc w:val="both"/>
      </w:pPr>
    </w:p>
    <w:p w14:paraId="73F368B3" w14:textId="77777777" w:rsidR="004E6C5A" w:rsidRDefault="004E6C5A" w:rsidP="00296719">
      <w:pPr>
        <w:jc w:val="both"/>
      </w:pPr>
    </w:p>
    <w:p w14:paraId="367C46ED" w14:textId="77777777" w:rsidR="004E6C5A" w:rsidRDefault="004E6C5A" w:rsidP="00296719">
      <w:pPr>
        <w:jc w:val="both"/>
      </w:pPr>
    </w:p>
    <w:p w14:paraId="67760E87" w14:textId="77777777" w:rsidR="004E6C5A" w:rsidRDefault="004E6C5A" w:rsidP="00296719">
      <w:pPr>
        <w:jc w:val="both"/>
      </w:pPr>
    </w:p>
    <w:p w14:paraId="35D00AA9" w14:textId="77777777" w:rsidR="004E6C5A" w:rsidRDefault="004E6C5A" w:rsidP="00296719">
      <w:pPr>
        <w:jc w:val="both"/>
      </w:pPr>
    </w:p>
    <w:p w14:paraId="70D1DD2A" w14:textId="77777777" w:rsidR="004E6C5A" w:rsidRDefault="004E6C5A" w:rsidP="00296719">
      <w:pPr>
        <w:jc w:val="both"/>
      </w:pPr>
    </w:p>
    <w:p w14:paraId="33CE003D" w14:textId="77777777" w:rsidR="004E6C5A" w:rsidRDefault="004E6C5A" w:rsidP="00296719">
      <w:pPr>
        <w:jc w:val="both"/>
      </w:pPr>
    </w:p>
    <w:p w14:paraId="74126A7E" w14:textId="77777777" w:rsidR="004E6C5A" w:rsidRDefault="004E6C5A" w:rsidP="00296719">
      <w:pPr>
        <w:jc w:val="both"/>
      </w:pPr>
    </w:p>
    <w:p w14:paraId="03121D75" w14:textId="77777777" w:rsidR="004E6C5A" w:rsidRDefault="004E6C5A" w:rsidP="00296719">
      <w:pPr>
        <w:jc w:val="both"/>
      </w:pPr>
    </w:p>
    <w:p w14:paraId="402E8C1B" w14:textId="28FACFBC" w:rsidR="0046496F" w:rsidRPr="0046496F" w:rsidRDefault="0046496F" w:rsidP="0046496F">
      <w:pPr>
        <w:jc w:val="both"/>
      </w:pPr>
      <w:r w:rsidRPr="0046496F">
        <w:t xml:space="preserve"> </w:t>
      </w:r>
      <w:r w:rsidRPr="0046496F">
        <w:rPr>
          <w:b/>
          <w:bCs/>
        </w:rPr>
        <w:t xml:space="preserve">CAPACIDAD TÉCNICA (20%) — </w:t>
      </w:r>
      <w:proofErr w:type="spellStart"/>
      <w:r w:rsidRPr="0046496F">
        <w:rPr>
          <w:b/>
          <w:bCs/>
        </w:rPr>
        <w:t>Máx</w:t>
      </w:r>
      <w:proofErr w:type="spellEnd"/>
      <w:r w:rsidRPr="0046496F">
        <w:rPr>
          <w:b/>
          <w:bCs/>
        </w:rPr>
        <w:t xml:space="preserve"> 20 </w:t>
      </w:r>
      <w:proofErr w:type="spellStart"/>
      <w:r w:rsidRPr="0046496F">
        <w:rPr>
          <w:b/>
          <w:bCs/>
        </w:rPr>
        <w:t>pts</w:t>
      </w:r>
      <w:proofErr w:type="spellEnd"/>
    </w:p>
    <w:p w14:paraId="54C1C8EA" w14:textId="77777777" w:rsidR="0046496F" w:rsidRPr="0046496F" w:rsidRDefault="0046496F" w:rsidP="0046496F">
      <w:pPr>
        <w:numPr>
          <w:ilvl w:val="0"/>
          <w:numId w:val="3"/>
        </w:numPr>
        <w:jc w:val="both"/>
      </w:pPr>
      <w:r w:rsidRPr="0046496F">
        <w:t xml:space="preserve">20 </w:t>
      </w:r>
      <w:proofErr w:type="spellStart"/>
      <w:r w:rsidRPr="0046496F">
        <w:t>pts</w:t>
      </w:r>
      <w:proofErr w:type="spellEnd"/>
      <w:r w:rsidRPr="0046496F">
        <w:t xml:space="preserve"> — Excelente: formulario completo y coherente; metas, actividades, cronograma y presupuesto detallados.</w:t>
      </w:r>
    </w:p>
    <w:p w14:paraId="2945A26F" w14:textId="77777777" w:rsidR="0046496F" w:rsidRPr="0046496F" w:rsidRDefault="0046496F" w:rsidP="0046496F">
      <w:pPr>
        <w:numPr>
          <w:ilvl w:val="0"/>
          <w:numId w:val="3"/>
        </w:numPr>
        <w:jc w:val="both"/>
      </w:pPr>
      <w:r w:rsidRPr="0046496F">
        <w:t xml:space="preserve">15 </w:t>
      </w:r>
      <w:proofErr w:type="spellStart"/>
      <w:r w:rsidRPr="0046496F">
        <w:t>pts</w:t>
      </w:r>
      <w:proofErr w:type="spellEnd"/>
      <w:r w:rsidRPr="0046496F">
        <w:t xml:space="preserve"> — Bueno: formulario completo, coherencia parcial, debilidades en actividades o cronograma.</w:t>
      </w:r>
    </w:p>
    <w:p w14:paraId="6F75459A" w14:textId="77777777" w:rsidR="0046496F" w:rsidRPr="0046496F" w:rsidRDefault="0046496F" w:rsidP="0046496F">
      <w:pPr>
        <w:numPr>
          <w:ilvl w:val="0"/>
          <w:numId w:val="3"/>
        </w:numPr>
        <w:jc w:val="both"/>
      </w:pPr>
      <w:r w:rsidRPr="0046496F">
        <w:t xml:space="preserve">10 </w:t>
      </w:r>
      <w:proofErr w:type="spellStart"/>
      <w:r w:rsidRPr="0046496F">
        <w:t>pts</w:t>
      </w:r>
      <w:proofErr w:type="spellEnd"/>
      <w:r w:rsidRPr="0046496F">
        <w:t xml:space="preserve"> — Regular: formulario incompleto, pero con coherencia parcial; falta información clave.</w:t>
      </w:r>
    </w:p>
    <w:p w14:paraId="595AB84A" w14:textId="77777777" w:rsidR="0046496F" w:rsidRDefault="0046496F" w:rsidP="0046496F">
      <w:pPr>
        <w:numPr>
          <w:ilvl w:val="0"/>
          <w:numId w:val="3"/>
        </w:numPr>
        <w:jc w:val="both"/>
      </w:pPr>
      <w:r w:rsidRPr="0046496F">
        <w:t xml:space="preserve">5 </w:t>
      </w:r>
      <w:proofErr w:type="spellStart"/>
      <w:r w:rsidRPr="0046496F">
        <w:t>pts</w:t>
      </w:r>
      <w:proofErr w:type="spellEnd"/>
      <w:r w:rsidRPr="0046496F">
        <w:t xml:space="preserve"> — Deficiente: incompleto y sin coherencia; no viable.</w:t>
      </w:r>
    </w:p>
    <w:p w14:paraId="6C591E2F" w14:textId="77777777" w:rsidR="0046496F" w:rsidRDefault="0046496F" w:rsidP="0046496F">
      <w:pPr>
        <w:ind w:left="720"/>
        <w:jc w:val="both"/>
      </w:pPr>
    </w:p>
    <w:p w14:paraId="621ECC16" w14:textId="085CD4B7" w:rsidR="0046496F" w:rsidRPr="0046496F" w:rsidRDefault="0046496F" w:rsidP="0046496F">
      <w:pPr>
        <w:jc w:val="both"/>
      </w:pPr>
      <w:r w:rsidRPr="0046496F">
        <w:t xml:space="preserve"> </w:t>
      </w:r>
      <w:r w:rsidRPr="0046496F">
        <w:rPr>
          <w:b/>
          <w:bCs/>
        </w:rPr>
        <w:t xml:space="preserve">IMPACTO DEL PROYECTO (15%) — </w:t>
      </w:r>
      <w:proofErr w:type="spellStart"/>
      <w:r w:rsidRPr="0046496F">
        <w:rPr>
          <w:b/>
          <w:bCs/>
        </w:rPr>
        <w:t>Máx</w:t>
      </w:r>
      <w:proofErr w:type="spellEnd"/>
      <w:r w:rsidRPr="0046496F">
        <w:rPr>
          <w:b/>
          <w:bCs/>
        </w:rPr>
        <w:t xml:space="preserve"> 15 </w:t>
      </w:r>
      <w:proofErr w:type="spellStart"/>
      <w:r w:rsidRPr="0046496F">
        <w:rPr>
          <w:b/>
          <w:bCs/>
        </w:rPr>
        <w:t>pts</w:t>
      </w:r>
      <w:proofErr w:type="spellEnd"/>
    </w:p>
    <w:p w14:paraId="52885D7B" w14:textId="77777777" w:rsidR="0046496F" w:rsidRPr="0046496F" w:rsidRDefault="0046496F" w:rsidP="0046496F">
      <w:pPr>
        <w:numPr>
          <w:ilvl w:val="0"/>
          <w:numId w:val="4"/>
        </w:numPr>
        <w:jc w:val="both"/>
      </w:pPr>
      <w:r w:rsidRPr="0046496F">
        <w:t xml:space="preserve">15 </w:t>
      </w:r>
      <w:proofErr w:type="spellStart"/>
      <w:r w:rsidRPr="0046496F">
        <w:t>pts</w:t>
      </w:r>
      <w:proofErr w:type="spellEnd"/>
      <w:r w:rsidRPr="0046496F">
        <w:t xml:space="preserve"> — Alto impacto: &gt;100 beneficiarios directos o impacto estratégico/simbólico claramente demostrado.</w:t>
      </w:r>
    </w:p>
    <w:p w14:paraId="547715CB" w14:textId="77777777" w:rsidR="0046496F" w:rsidRPr="0046496F" w:rsidRDefault="0046496F" w:rsidP="0046496F">
      <w:pPr>
        <w:numPr>
          <w:ilvl w:val="0"/>
          <w:numId w:val="4"/>
        </w:numPr>
        <w:jc w:val="both"/>
      </w:pPr>
      <w:r w:rsidRPr="0046496F">
        <w:t xml:space="preserve">11 </w:t>
      </w:r>
      <w:proofErr w:type="spellStart"/>
      <w:r w:rsidRPr="0046496F">
        <w:t>pts</w:t>
      </w:r>
      <w:proofErr w:type="spellEnd"/>
      <w:r w:rsidRPr="0046496F">
        <w:t xml:space="preserve"> — Relevante: 50–99 beneficiarios o impacto bien argumentado en grupo específico.</w:t>
      </w:r>
    </w:p>
    <w:p w14:paraId="778BEBFA" w14:textId="77777777" w:rsidR="0046496F" w:rsidRPr="0046496F" w:rsidRDefault="0046496F" w:rsidP="0046496F">
      <w:pPr>
        <w:numPr>
          <w:ilvl w:val="0"/>
          <w:numId w:val="4"/>
        </w:numPr>
        <w:jc w:val="both"/>
      </w:pPr>
      <w:r w:rsidRPr="0046496F">
        <w:t xml:space="preserve">7 </w:t>
      </w:r>
      <w:proofErr w:type="spellStart"/>
      <w:r w:rsidRPr="0046496F">
        <w:t>pts</w:t>
      </w:r>
      <w:proofErr w:type="spellEnd"/>
      <w:r w:rsidRPr="0046496F">
        <w:t xml:space="preserve"> — Moderado: 20–49 beneficiarios o impacto poco definido.</w:t>
      </w:r>
    </w:p>
    <w:p w14:paraId="4DE8D0DA" w14:textId="77777777" w:rsidR="0046496F" w:rsidRPr="0046496F" w:rsidRDefault="0046496F" w:rsidP="0046496F">
      <w:pPr>
        <w:numPr>
          <w:ilvl w:val="0"/>
          <w:numId w:val="4"/>
        </w:numPr>
        <w:jc w:val="both"/>
      </w:pPr>
      <w:r w:rsidRPr="0046496F">
        <w:t xml:space="preserve">3 </w:t>
      </w:r>
      <w:proofErr w:type="spellStart"/>
      <w:r w:rsidRPr="0046496F">
        <w:t>pts</w:t>
      </w:r>
      <w:proofErr w:type="spellEnd"/>
      <w:r w:rsidRPr="0046496F">
        <w:t xml:space="preserve"> — Bajo: &lt;20 beneficiarios sin justificación clara.</w:t>
      </w:r>
    </w:p>
    <w:p w14:paraId="77A11EEC" w14:textId="285A3126" w:rsidR="0046496F" w:rsidRPr="0046496F" w:rsidRDefault="0046496F" w:rsidP="0046496F">
      <w:pPr>
        <w:jc w:val="both"/>
      </w:pPr>
      <w:r w:rsidRPr="0046496F">
        <w:rPr>
          <w:b/>
          <w:bCs/>
        </w:rPr>
        <w:t xml:space="preserve">APORTES PROPIOS O DE TERCEROS (15%) — </w:t>
      </w:r>
      <w:proofErr w:type="spellStart"/>
      <w:r w:rsidRPr="0046496F">
        <w:rPr>
          <w:b/>
          <w:bCs/>
        </w:rPr>
        <w:t>Máx</w:t>
      </w:r>
      <w:proofErr w:type="spellEnd"/>
      <w:r w:rsidRPr="0046496F">
        <w:rPr>
          <w:b/>
          <w:bCs/>
        </w:rPr>
        <w:t xml:space="preserve"> 15 </w:t>
      </w:r>
      <w:proofErr w:type="spellStart"/>
      <w:r w:rsidRPr="0046496F">
        <w:rPr>
          <w:b/>
          <w:bCs/>
        </w:rPr>
        <w:t>pts</w:t>
      </w:r>
      <w:proofErr w:type="spellEnd"/>
    </w:p>
    <w:p w14:paraId="7B2C3ADE" w14:textId="77777777" w:rsidR="0046496F" w:rsidRPr="0046496F" w:rsidRDefault="0046496F" w:rsidP="0046496F">
      <w:pPr>
        <w:numPr>
          <w:ilvl w:val="0"/>
          <w:numId w:val="5"/>
        </w:numPr>
        <w:jc w:val="both"/>
      </w:pPr>
      <w:r w:rsidRPr="0046496F">
        <w:t xml:space="preserve">15 </w:t>
      </w:r>
      <w:proofErr w:type="spellStart"/>
      <w:r w:rsidRPr="0046496F">
        <w:t>pts</w:t>
      </w:r>
      <w:proofErr w:type="spellEnd"/>
      <w:r w:rsidRPr="0046496F">
        <w:t xml:space="preserve"> — ≥30% de aporte propio/terceros.</w:t>
      </w:r>
    </w:p>
    <w:p w14:paraId="6ADB4FA8" w14:textId="77777777" w:rsidR="0046496F" w:rsidRPr="0046496F" w:rsidRDefault="0046496F" w:rsidP="0046496F">
      <w:pPr>
        <w:numPr>
          <w:ilvl w:val="0"/>
          <w:numId w:val="5"/>
        </w:numPr>
        <w:jc w:val="both"/>
      </w:pPr>
      <w:r w:rsidRPr="0046496F">
        <w:t xml:space="preserve">10 </w:t>
      </w:r>
      <w:proofErr w:type="spellStart"/>
      <w:r w:rsidRPr="0046496F">
        <w:t>pts</w:t>
      </w:r>
      <w:proofErr w:type="spellEnd"/>
      <w:r w:rsidRPr="0046496F">
        <w:t xml:space="preserve"> — &lt;30% de aporte.</w:t>
      </w:r>
    </w:p>
    <w:p w14:paraId="7A8BC75B" w14:textId="77777777" w:rsidR="0046496F" w:rsidRPr="0046496F" w:rsidRDefault="0046496F" w:rsidP="0046496F">
      <w:pPr>
        <w:numPr>
          <w:ilvl w:val="0"/>
          <w:numId w:val="5"/>
        </w:numPr>
        <w:jc w:val="both"/>
      </w:pPr>
      <w:r w:rsidRPr="0046496F">
        <w:t xml:space="preserve">0 </w:t>
      </w:r>
      <w:proofErr w:type="spellStart"/>
      <w:r w:rsidRPr="0046496F">
        <w:t>pts</w:t>
      </w:r>
      <w:proofErr w:type="spellEnd"/>
      <w:r w:rsidRPr="0046496F">
        <w:t xml:space="preserve"> — Sin aportes.</w:t>
      </w:r>
    </w:p>
    <w:p w14:paraId="5F6BDA7A" w14:textId="413DEB80" w:rsidR="0046496F" w:rsidRPr="0046496F" w:rsidRDefault="0046496F" w:rsidP="0046496F">
      <w:pPr>
        <w:jc w:val="both"/>
      </w:pPr>
      <w:r w:rsidRPr="0046496F">
        <w:rPr>
          <w:b/>
          <w:bCs/>
        </w:rPr>
        <w:t xml:space="preserve">REPRESENTACIÓN CULTURAL (20%) — </w:t>
      </w:r>
      <w:proofErr w:type="spellStart"/>
      <w:r w:rsidRPr="0046496F">
        <w:rPr>
          <w:b/>
          <w:bCs/>
        </w:rPr>
        <w:t>Máx</w:t>
      </w:r>
      <w:proofErr w:type="spellEnd"/>
      <w:r w:rsidRPr="0046496F">
        <w:rPr>
          <w:b/>
          <w:bCs/>
        </w:rPr>
        <w:t xml:space="preserve"> 20 </w:t>
      </w:r>
      <w:proofErr w:type="spellStart"/>
      <w:r w:rsidRPr="0046496F">
        <w:rPr>
          <w:b/>
          <w:bCs/>
        </w:rPr>
        <w:t>pts</w:t>
      </w:r>
      <w:proofErr w:type="spellEnd"/>
    </w:p>
    <w:p w14:paraId="47A9743A" w14:textId="77777777" w:rsidR="0046496F" w:rsidRPr="0046496F" w:rsidRDefault="0046496F" w:rsidP="0046496F">
      <w:pPr>
        <w:numPr>
          <w:ilvl w:val="0"/>
          <w:numId w:val="6"/>
        </w:numPr>
        <w:jc w:val="both"/>
      </w:pPr>
      <w:r w:rsidRPr="0046496F">
        <w:t xml:space="preserve">20 </w:t>
      </w:r>
      <w:proofErr w:type="spellStart"/>
      <w:r w:rsidRPr="0046496F">
        <w:t>pts</w:t>
      </w:r>
      <w:proofErr w:type="spellEnd"/>
      <w:r w:rsidRPr="0046496F">
        <w:t xml:space="preserve"> — Representación clara y positiva de la cultura local; contribuye al turismo/puesta en valor.</w:t>
      </w:r>
    </w:p>
    <w:p w14:paraId="4ADCC337" w14:textId="77777777" w:rsidR="0046496F" w:rsidRPr="0046496F" w:rsidRDefault="0046496F" w:rsidP="0046496F">
      <w:pPr>
        <w:numPr>
          <w:ilvl w:val="0"/>
          <w:numId w:val="6"/>
        </w:numPr>
        <w:jc w:val="both"/>
      </w:pPr>
      <w:r w:rsidRPr="0046496F">
        <w:t xml:space="preserve">15 </w:t>
      </w:r>
      <w:proofErr w:type="spellStart"/>
      <w:r w:rsidRPr="0046496F">
        <w:t>pts</w:t>
      </w:r>
      <w:proofErr w:type="spellEnd"/>
      <w:r w:rsidRPr="0046496F">
        <w:t xml:space="preserve"> — Representación parcial de la cultura.</w:t>
      </w:r>
    </w:p>
    <w:p w14:paraId="1239EF46" w14:textId="77777777" w:rsidR="0046496F" w:rsidRPr="0046496F" w:rsidRDefault="0046496F" w:rsidP="0046496F">
      <w:pPr>
        <w:numPr>
          <w:ilvl w:val="0"/>
          <w:numId w:val="6"/>
        </w:numPr>
        <w:jc w:val="both"/>
      </w:pPr>
      <w:r w:rsidRPr="0046496F">
        <w:t xml:space="preserve">0 </w:t>
      </w:r>
      <w:proofErr w:type="spellStart"/>
      <w:r w:rsidRPr="0046496F">
        <w:t>pts</w:t>
      </w:r>
      <w:proofErr w:type="spellEnd"/>
      <w:r w:rsidRPr="0046496F">
        <w:t xml:space="preserve"> — No especifica ni evidencia impacto cultural.</w:t>
      </w:r>
    </w:p>
    <w:p w14:paraId="539CFF2F" w14:textId="25E9AB22" w:rsidR="0046496F" w:rsidRPr="0046496F" w:rsidRDefault="0046496F" w:rsidP="0046496F">
      <w:pPr>
        <w:jc w:val="both"/>
      </w:pPr>
      <w:r w:rsidRPr="0046496F">
        <w:rPr>
          <w:b/>
          <w:bCs/>
        </w:rPr>
        <w:t xml:space="preserve">TRAYECTORIA DE EVENTOS ANTERIORES (20%) — </w:t>
      </w:r>
      <w:proofErr w:type="spellStart"/>
      <w:r w:rsidRPr="0046496F">
        <w:rPr>
          <w:b/>
          <w:bCs/>
        </w:rPr>
        <w:t>Máx</w:t>
      </w:r>
      <w:proofErr w:type="spellEnd"/>
      <w:r w:rsidRPr="0046496F">
        <w:rPr>
          <w:b/>
          <w:bCs/>
        </w:rPr>
        <w:t xml:space="preserve"> 20 </w:t>
      </w:r>
      <w:proofErr w:type="spellStart"/>
      <w:r w:rsidRPr="0046496F">
        <w:rPr>
          <w:b/>
          <w:bCs/>
        </w:rPr>
        <w:t>pts</w:t>
      </w:r>
      <w:proofErr w:type="spellEnd"/>
    </w:p>
    <w:p w14:paraId="48F6951A" w14:textId="77777777" w:rsidR="0046496F" w:rsidRPr="0046496F" w:rsidRDefault="0046496F" w:rsidP="0046496F">
      <w:pPr>
        <w:numPr>
          <w:ilvl w:val="0"/>
          <w:numId w:val="7"/>
        </w:numPr>
        <w:jc w:val="both"/>
      </w:pPr>
      <w:r w:rsidRPr="0046496F">
        <w:t xml:space="preserve">20 </w:t>
      </w:r>
      <w:proofErr w:type="spellStart"/>
      <w:r w:rsidRPr="0046496F">
        <w:t>pts</w:t>
      </w:r>
      <w:proofErr w:type="spellEnd"/>
      <w:r w:rsidRPr="0046496F">
        <w:t xml:space="preserve"> — Recibió financiamiento en 2021 y 2025; trayectoria consolidada últimos 5 años.</w:t>
      </w:r>
    </w:p>
    <w:p w14:paraId="36C2D6EB" w14:textId="77777777" w:rsidR="0046496F" w:rsidRPr="0046496F" w:rsidRDefault="0046496F" w:rsidP="0046496F">
      <w:pPr>
        <w:numPr>
          <w:ilvl w:val="0"/>
          <w:numId w:val="7"/>
        </w:numPr>
        <w:jc w:val="both"/>
      </w:pPr>
      <w:r w:rsidRPr="0046496F">
        <w:t xml:space="preserve">10 </w:t>
      </w:r>
      <w:proofErr w:type="spellStart"/>
      <w:r w:rsidRPr="0046496F">
        <w:t>pts</w:t>
      </w:r>
      <w:proofErr w:type="spellEnd"/>
      <w:r w:rsidRPr="0046496F">
        <w:t xml:space="preserve"> — Recibió financiamiento en 2023 o 2025; trayectoria últimos 3 años.</w:t>
      </w:r>
    </w:p>
    <w:p w14:paraId="6BBBD25B" w14:textId="77777777" w:rsidR="0046496F" w:rsidRPr="0046496F" w:rsidRDefault="0046496F" w:rsidP="0046496F">
      <w:pPr>
        <w:numPr>
          <w:ilvl w:val="0"/>
          <w:numId w:val="7"/>
        </w:numPr>
        <w:jc w:val="both"/>
      </w:pPr>
      <w:r w:rsidRPr="0046496F">
        <w:t xml:space="preserve">5 </w:t>
      </w:r>
      <w:proofErr w:type="spellStart"/>
      <w:r w:rsidRPr="0046496F">
        <w:t>pts</w:t>
      </w:r>
      <w:proofErr w:type="spellEnd"/>
      <w:r w:rsidRPr="0046496F">
        <w:t xml:space="preserve"> — Recibió financiamiento en 2025; trayectoria último 1 año.</w:t>
      </w:r>
    </w:p>
    <w:p w14:paraId="1F81D6DC" w14:textId="77777777" w:rsidR="0046496F" w:rsidRPr="0046496F" w:rsidRDefault="0046496F" w:rsidP="0046496F">
      <w:pPr>
        <w:numPr>
          <w:ilvl w:val="0"/>
          <w:numId w:val="7"/>
        </w:numPr>
        <w:jc w:val="both"/>
      </w:pPr>
      <w:r w:rsidRPr="0046496F">
        <w:t xml:space="preserve">0 </w:t>
      </w:r>
      <w:proofErr w:type="spellStart"/>
      <w:r w:rsidRPr="0046496F">
        <w:t>pts</w:t>
      </w:r>
      <w:proofErr w:type="spellEnd"/>
      <w:r w:rsidRPr="0046496F">
        <w:t xml:space="preserve"> — Primera vez, sin trayectoria.</w:t>
      </w:r>
    </w:p>
    <w:p w14:paraId="531C7BAE" w14:textId="26FE5053" w:rsidR="0046496F" w:rsidRPr="0046496F" w:rsidRDefault="0046496F" w:rsidP="0046496F">
      <w:pPr>
        <w:jc w:val="both"/>
      </w:pPr>
      <w:r w:rsidRPr="0046496F">
        <w:rPr>
          <w:b/>
          <w:bCs/>
        </w:rPr>
        <w:t xml:space="preserve">ECONOMÍA CIRCULAR (10%) — </w:t>
      </w:r>
      <w:proofErr w:type="spellStart"/>
      <w:r w:rsidRPr="0046496F">
        <w:rPr>
          <w:b/>
          <w:bCs/>
        </w:rPr>
        <w:t>Máx</w:t>
      </w:r>
      <w:proofErr w:type="spellEnd"/>
      <w:r w:rsidRPr="0046496F">
        <w:rPr>
          <w:b/>
          <w:bCs/>
        </w:rPr>
        <w:t xml:space="preserve"> 10 </w:t>
      </w:r>
      <w:proofErr w:type="spellStart"/>
      <w:r w:rsidRPr="0046496F">
        <w:rPr>
          <w:b/>
          <w:bCs/>
        </w:rPr>
        <w:t>pts</w:t>
      </w:r>
      <w:proofErr w:type="spellEnd"/>
    </w:p>
    <w:p w14:paraId="06C1A02D" w14:textId="77777777" w:rsidR="0046496F" w:rsidRPr="0046496F" w:rsidRDefault="0046496F" w:rsidP="0046496F">
      <w:pPr>
        <w:numPr>
          <w:ilvl w:val="0"/>
          <w:numId w:val="8"/>
        </w:numPr>
        <w:jc w:val="both"/>
      </w:pPr>
      <w:r w:rsidRPr="0046496F">
        <w:t xml:space="preserve">10 </w:t>
      </w:r>
      <w:proofErr w:type="spellStart"/>
      <w:r w:rsidRPr="0046496F">
        <w:t>pts</w:t>
      </w:r>
      <w:proofErr w:type="spellEnd"/>
      <w:r w:rsidRPr="0046496F">
        <w:t xml:space="preserve"> — Contratación/colaboración con múltiples empresas locales y acciones concretas de sustentabilidad ambiental.</w:t>
      </w:r>
    </w:p>
    <w:p w14:paraId="4D2A8948" w14:textId="77777777" w:rsidR="0046496F" w:rsidRPr="0046496F" w:rsidRDefault="0046496F" w:rsidP="0046496F">
      <w:pPr>
        <w:numPr>
          <w:ilvl w:val="0"/>
          <w:numId w:val="8"/>
        </w:numPr>
        <w:jc w:val="both"/>
      </w:pPr>
      <w:r w:rsidRPr="0046496F">
        <w:t xml:space="preserve">5 </w:t>
      </w:r>
      <w:proofErr w:type="spellStart"/>
      <w:r w:rsidRPr="0046496F">
        <w:t>pts</w:t>
      </w:r>
      <w:proofErr w:type="spellEnd"/>
      <w:r w:rsidRPr="0046496F">
        <w:t xml:space="preserve"> — Al menos 1 empresa local involucrada; no detalla sustentabilidad ambiental.</w:t>
      </w:r>
    </w:p>
    <w:p w14:paraId="73E16C11" w14:textId="77777777" w:rsidR="0046496F" w:rsidRPr="0046496F" w:rsidRDefault="0046496F" w:rsidP="0046496F">
      <w:pPr>
        <w:numPr>
          <w:ilvl w:val="0"/>
          <w:numId w:val="8"/>
        </w:numPr>
        <w:jc w:val="both"/>
      </w:pPr>
      <w:r w:rsidRPr="0046496F">
        <w:t xml:space="preserve">0 </w:t>
      </w:r>
      <w:proofErr w:type="spellStart"/>
      <w:r w:rsidRPr="0046496F">
        <w:t>pts</w:t>
      </w:r>
      <w:proofErr w:type="spellEnd"/>
      <w:r w:rsidRPr="0046496F">
        <w:t xml:space="preserve"> — No menciona contratación local ni sustentabilidad.</w:t>
      </w:r>
    </w:p>
    <w:p w14:paraId="2F5E5540" w14:textId="77777777" w:rsidR="004E6C5A" w:rsidRDefault="004E6C5A" w:rsidP="004E6C5A">
      <w:pPr>
        <w:jc w:val="both"/>
      </w:pPr>
    </w:p>
    <w:p w14:paraId="5BBD236F" w14:textId="4305EE6C" w:rsidR="004E6C5A" w:rsidRDefault="004E6C5A" w:rsidP="00296719">
      <w:pPr>
        <w:jc w:val="both"/>
      </w:pPr>
    </w:p>
    <w:sectPr w:rsidR="004E6C5A" w:rsidSect="00A974FF">
      <w:headerReference w:type="default" r:id="rId9"/>
      <w:pgSz w:w="12240" w:h="15840"/>
      <w:pgMar w:top="823" w:right="1701" w:bottom="1417" w:left="1701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41617" w14:textId="77777777" w:rsidR="000B1770" w:rsidRDefault="000B1770" w:rsidP="00A974FF">
      <w:r>
        <w:separator/>
      </w:r>
    </w:p>
  </w:endnote>
  <w:endnote w:type="continuationSeparator" w:id="0">
    <w:p w14:paraId="6220051F" w14:textId="77777777" w:rsidR="000B1770" w:rsidRDefault="000B1770" w:rsidP="00A9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E5189" w14:textId="77777777" w:rsidR="000B1770" w:rsidRDefault="000B1770" w:rsidP="00A974FF">
      <w:r>
        <w:separator/>
      </w:r>
    </w:p>
  </w:footnote>
  <w:footnote w:type="continuationSeparator" w:id="0">
    <w:p w14:paraId="473C3D39" w14:textId="77777777" w:rsidR="000B1770" w:rsidRDefault="000B1770" w:rsidP="00A97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06B2" w14:textId="77777777" w:rsidR="00A974FF" w:rsidRPr="00BD2388" w:rsidRDefault="00A974FF" w:rsidP="00A974FF">
    <w:pPr>
      <w:jc w:val="center"/>
      <w:rPr>
        <w:rFonts w:ascii="Arial" w:hAnsi="Arial" w:cs="Arial"/>
        <w:b/>
        <w:color w:val="1F3864" w:themeColor="accent5" w:themeShade="80"/>
      </w:rPr>
    </w:pPr>
    <w:bookmarkStart w:id="0" w:name="_Hlk200990129"/>
    <w:r w:rsidRPr="00BD2388">
      <w:rPr>
        <w:rFonts w:ascii="Arial" w:hAnsi="Arial" w:cs="Arial"/>
        <w:b/>
        <w:noProof/>
        <w:lang w:eastAsia="es-CL"/>
      </w:rPr>
      <w:drawing>
        <wp:anchor distT="0" distB="0" distL="114300" distR="114300" simplePos="0" relativeHeight="251659264" behindDoc="0" locked="0" layoutInCell="1" allowOverlap="1" wp14:anchorId="2E3CBAB6" wp14:editId="6AD3A2F8">
          <wp:simplePos x="0" y="0"/>
          <wp:positionH relativeFrom="margin">
            <wp:posOffset>-346710</wp:posOffset>
          </wp:positionH>
          <wp:positionV relativeFrom="margin">
            <wp:posOffset>-728345</wp:posOffset>
          </wp:positionV>
          <wp:extent cx="800100" cy="724535"/>
          <wp:effectExtent l="0" t="0" r="0" b="0"/>
          <wp:wrapSquare wrapText="bothSides"/>
          <wp:docPr id="7" name="Imagen 7" descr="C:\Users\FOMENTO\AppData\Local\Microsoft\Windows\INetCache\Content.Word\Logo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OMENTO\AppData\Local\Microsoft\Windows\INetCache\Content.Word\Logo vertical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47" t="13333" r="15447" b="12889"/>
                  <a:stretch/>
                </pic:blipFill>
                <pic:spPr bwMode="auto">
                  <a:xfrm>
                    <a:off x="0" y="0"/>
                    <a:ext cx="80010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2388">
      <w:rPr>
        <w:rFonts w:ascii="Arial" w:hAnsi="Arial" w:cs="Arial"/>
        <w:b/>
        <w:color w:val="1F3864" w:themeColor="accent5" w:themeShade="80"/>
      </w:rPr>
      <w:t xml:space="preserve">DIRECCIÓN </w:t>
    </w:r>
    <w:proofErr w:type="gramStart"/>
    <w:r w:rsidRPr="00BD2388">
      <w:rPr>
        <w:rFonts w:ascii="Arial" w:hAnsi="Arial" w:cs="Arial"/>
        <w:b/>
        <w:color w:val="1F3864" w:themeColor="accent5" w:themeShade="80"/>
      </w:rPr>
      <w:t>DE  DESARROLLO</w:t>
    </w:r>
    <w:proofErr w:type="gramEnd"/>
    <w:r w:rsidRPr="00BD2388">
      <w:rPr>
        <w:rFonts w:ascii="Arial" w:hAnsi="Arial" w:cs="Arial"/>
        <w:b/>
        <w:color w:val="1F3864" w:themeColor="accent5" w:themeShade="80"/>
      </w:rPr>
      <w:t xml:space="preserve"> COMUNITARIO</w:t>
    </w:r>
  </w:p>
  <w:bookmarkEnd w:id="0"/>
  <w:p w14:paraId="50ACAECF" w14:textId="77777777" w:rsidR="00A974FF" w:rsidRDefault="00A974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06C8"/>
    <w:multiLevelType w:val="multilevel"/>
    <w:tmpl w:val="AC74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47754"/>
    <w:multiLevelType w:val="multilevel"/>
    <w:tmpl w:val="394E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EE2A65"/>
    <w:multiLevelType w:val="multilevel"/>
    <w:tmpl w:val="4976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B2ADF"/>
    <w:multiLevelType w:val="hybridMultilevel"/>
    <w:tmpl w:val="D292A1E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3775B"/>
    <w:multiLevelType w:val="multilevel"/>
    <w:tmpl w:val="77F6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8A6A97"/>
    <w:multiLevelType w:val="multilevel"/>
    <w:tmpl w:val="E1FA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C2194E"/>
    <w:multiLevelType w:val="multilevel"/>
    <w:tmpl w:val="F0E2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C23B9B"/>
    <w:multiLevelType w:val="multilevel"/>
    <w:tmpl w:val="F674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9837823">
    <w:abstractNumId w:val="1"/>
  </w:num>
  <w:num w:numId="2" w16cid:durableId="828986645">
    <w:abstractNumId w:val="3"/>
  </w:num>
  <w:num w:numId="3" w16cid:durableId="804663922">
    <w:abstractNumId w:val="0"/>
  </w:num>
  <w:num w:numId="4" w16cid:durableId="666177727">
    <w:abstractNumId w:val="6"/>
  </w:num>
  <w:num w:numId="5" w16cid:durableId="1429931954">
    <w:abstractNumId w:val="2"/>
  </w:num>
  <w:num w:numId="6" w16cid:durableId="654841231">
    <w:abstractNumId w:val="5"/>
  </w:num>
  <w:num w:numId="7" w16cid:durableId="1984121643">
    <w:abstractNumId w:val="4"/>
  </w:num>
  <w:num w:numId="8" w16cid:durableId="17483847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FF"/>
    <w:rsid w:val="0002543D"/>
    <w:rsid w:val="000548F4"/>
    <w:rsid w:val="000B1770"/>
    <w:rsid w:val="000C25FE"/>
    <w:rsid w:val="000C529C"/>
    <w:rsid w:val="00120674"/>
    <w:rsid w:val="00135667"/>
    <w:rsid w:val="00142C98"/>
    <w:rsid w:val="00180935"/>
    <w:rsid w:val="00181F28"/>
    <w:rsid w:val="002177E3"/>
    <w:rsid w:val="00250247"/>
    <w:rsid w:val="00296719"/>
    <w:rsid w:val="002A1362"/>
    <w:rsid w:val="002C30F1"/>
    <w:rsid w:val="00325620"/>
    <w:rsid w:val="00357D94"/>
    <w:rsid w:val="00376027"/>
    <w:rsid w:val="00383A4F"/>
    <w:rsid w:val="003C23A6"/>
    <w:rsid w:val="003D41CC"/>
    <w:rsid w:val="003E033D"/>
    <w:rsid w:val="00445EE4"/>
    <w:rsid w:val="0045565E"/>
    <w:rsid w:val="0046496F"/>
    <w:rsid w:val="00475509"/>
    <w:rsid w:val="004C7BE0"/>
    <w:rsid w:val="004E6C5A"/>
    <w:rsid w:val="004F384A"/>
    <w:rsid w:val="00534317"/>
    <w:rsid w:val="005B2DF6"/>
    <w:rsid w:val="0065583C"/>
    <w:rsid w:val="006A5629"/>
    <w:rsid w:val="006C0EB0"/>
    <w:rsid w:val="00716972"/>
    <w:rsid w:val="00732EFD"/>
    <w:rsid w:val="0077694D"/>
    <w:rsid w:val="007960B1"/>
    <w:rsid w:val="007D50BB"/>
    <w:rsid w:val="007E0346"/>
    <w:rsid w:val="008102C0"/>
    <w:rsid w:val="0086575D"/>
    <w:rsid w:val="00866019"/>
    <w:rsid w:val="00876817"/>
    <w:rsid w:val="0089426B"/>
    <w:rsid w:val="0089675F"/>
    <w:rsid w:val="008D5A6A"/>
    <w:rsid w:val="008F25A3"/>
    <w:rsid w:val="009027EB"/>
    <w:rsid w:val="00981950"/>
    <w:rsid w:val="009C2C6D"/>
    <w:rsid w:val="00A472CF"/>
    <w:rsid w:val="00A974FF"/>
    <w:rsid w:val="00AC5FAD"/>
    <w:rsid w:val="00AE58F3"/>
    <w:rsid w:val="00AE6320"/>
    <w:rsid w:val="00AE65B9"/>
    <w:rsid w:val="00B2565F"/>
    <w:rsid w:val="00B33A32"/>
    <w:rsid w:val="00B64619"/>
    <w:rsid w:val="00B662F4"/>
    <w:rsid w:val="00B80EF3"/>
    <w:rsid w:val="00BA1D8D"/>
    <w:rsid w:val="00BB2DC9"/>
    <w:rsid w:val="00BB7E12"/>
    <w:rsid w:val="00BC4BF0"/>
    <w:rsid w:val="00BD29E9"/>
    <w:rsid w:val="00C022FC"/>
    <w:rsid w:val="00C45E2B"/>
    <w:rsid w:val="00CD5C64"/>
    <w:rsid w:val="00D63EEB"/>
    <w:rsid w:val="00DC0601"/>
    <w:rsid w:val="00DC23F6"/>
    <w:rsid w:val="00DC25EE"/>
    <w:rsid w:val="00E2393D"/>
    <w:rsid w:val="00E337F6"/>
    <w:rsid w:val="00E66B21"/>
    <w:rsid w:val="00E74F05"/>
    <w:rsid w:val="00ED11A1"/>
    <w:rsid w:val="00ED5FC5"/>
    <w:rsid w:val="00F802B2"/>
    <w:rsid w:val="00FA3C65"/>
    <w:rsid w:val="00FD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56D41"/>
  <w15:chartTrackingRefBased/>
  <w15:docId w15:val="{C4DE257A-5AA6-4364-B426-6C77774E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vanish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BE0"/>
    <w:pPr>
      <w:spacing w:after="0" w:line="240" w:lineRule="auto"/>
    </w:pPr>
    <w:rPr>
      <w:rFonts w:ascii="Times New Roman" w:eastAsia="Times New Roman" w:hAnsi="Times New Roman" w:cs="Times New Roman"/>
      <w:vanish w:val="0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74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74FF"/>
    <w:rPr>
      <w:rFonts w:eastAsiaTheme="minorEastAsia"/>
      <w:vanish w:val="0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A974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4FF"/>
    <w:rPr>
      <w:rFonts w:eastAsiaTheme="minorEastAsia"/>
      <w:vanish w:val="0"/>
      <w:szCs w:val="21"/>
    </w:rPr>
  </w:style>
  <w:style w:type="character" w:styleId="Hipervnculo">
    <w:name w:val="Hyperlink"/>
    <w:basedOn w:val="Fuentedeprrafopredeter"/>
    <w:uiPriority w:val="99"/>
    <w:unhideWhenUsed/>
    <w:rsid w:val="0002543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27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58F3"/>
    <w:pPr>
      <w:spacing w:after="0" w:line="240" w:lineRule="auto"/>
    </w:pPr>
    <w:rPr>
      <w:vanish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4C7BE0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C7BE0"/>
    <w:pPr>
      <w:spacing w:after="0" w:line="240" w:lineRule="auto"/>
    </w:pPr>
    <w:rPr>
      <w:vanish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D11A1"/>
    <w:pPr>
      <w:spacing w:after="0" w:line="240" w:lineRule="auto"/>
    </w:pPr>
    <w:rPr>
      <w:rFonts w:ascii="Times New Roman" w:eastAsia="Times New Roman" w:hAnsi="Times New Roman" w:cs="Times New Roman"/>
      <w:vanish w:val="0"/>
      <w:sz w:val="24"/>
      <w:szCs w:val="24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5E2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5E2B"/>
    <w:rPr>
      <w:rFonts w:ascii="Segoe UI" w:eastAsia="Times New Roman" w:hAnsi="Segoe UI" w:cs="Segoe UI"/>
      <w:vanish w:val="0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stros19862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26635-6D91-40B2-8442-763DFAEAE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1593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mloncomilla</dc:creator>
  <cp:keywords/>
  <dc:description/>
  <cp:lastModifiedBy>DIDECO</cp:lastModifiedBy>
  <cp:revision>3</cp:revision>
  <cp:lastPrinted>2025-11-17T16:24:00Z</cp:lastPrinted>
  <dcterms:created xsi:type="dcterms:W3CDTF">2025-11-20T19:56:00Z</dcterms:created>
  <dcterms:modified xsi:type="dcterms:W3CDTF">2025-11-20T20:35:00Z</dcterms:modified>
</cp:coreProperties>
</file>